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0D" w:rsidRPr="00BF1B0D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BF1B0D" w:rsidRPr="00BF1B0D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F1B0D" w:rsidRPr="00BF1B0D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>ФИЛОСОФИ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я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және саясаттану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ФАКУЛЬТЕТ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і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BF1B0D" w:rsidRPr="00BF1B0D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>КАФЕДРА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сы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BF1B0D" w:rsidRPr="00BF1B0D" w:rsidRDefault="00BF1B0D" w:rsidP="00BF1B0D">
      <w:pPr>
        <w:keepNext/>
        <w:keepLines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F1B0D" w:rsidRPr="00BF1B0D" w:rsidRDefault="00BF1B0D" w:rsidP="00BF1B0D">
      <w:pPr>
        <w:keepNext/>
        <w:keepLines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F1B0D" w:rsidRPr="00BF1B0D" w:rsidRDefault="00BF1B0D" w:rsidP="00BF1B0D">
      <w:pPr>
        <w:keepNext/>
        <w:keepLines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F1B0D" w:rsidRPr="00BF1B0D" w:rsidRDefault="00BF1B0D" w:rsidP="00BF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B0D" w:rsidRPr="00F31A1A" w:rsidRDefault="00BF1B0D" w:rsidP="00BF1B0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B0D" w:rsidRPr="00F31A1A" w:rsidRDefault="00BF1B0D" w:rsidP="00BF1B0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A1A" w:rsidRPr="00F31A1A" w:rsidRDefault="00F31A1A" w:rsidP="00F3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31A1A">
        <w:rPr>
          <w:rFonts w:ascii="Times New Roman" w:hAnsi="Times New Roman" w:cs="Times New Roman"/>
          <w:b/>
          <w:bCs/>
          <w:sz w:val="28"/>
          <w:szCs w:val="28"/>
          <w:lang w:val="kk-KZ"/>
        </w:rPr>
        <w:t>PP04309</w:t>
      </w: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F31A1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F31A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Кәсіби білім беру педагогикасы</w:t>
      </w: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</w:p>
    <w:p w:rsidR="00BF1B0D" w:rsidRPr="00BF1B0D" w:rsidRDefault="00F31A1A" w:rsidP="00BF1B0D">
      <w:pPr>
        <w:keepNext/>
        <w:keepLines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2B2B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B0D" w:rsidRPr="00BF1B0D">
        <w:rPr>
          <w:rFonts w:ascii="Times New Roman" w:hAnsi="Times New Roman" w:cs="Times New Roman"/>
          <w:b/>
          <w:caps/>
          <w:sz w:val="28"/>
          <w:szCs w:val="28"/>
          <w:lang w:val="kk-KZ"/>
        </w:rPr>
        <w:t>пәні бойынша</w:t>
      </w:r>
    </w:p>
    <w:p w:rsidR="00BF1B0D" w:rsidRPr="002B2BC7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caps/>
          <w:sz w:val="28"/>
          <w:szCs w:val="28"/>
          <w:lang w:val="kk-KZ"/>
        </w:rPr>
        <w:t>емтихан бағдарламасы</w:t>
      </w:r>
    </w:p>
    <w:p w:rsidR="00F31A1A" w:rsidRPr="00355B99" w:rsidRDefault="00F31A1A" w:rsidP="00F3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Күзгі семестр, 2020-2021 оқу жылы</w:t>
      </w:r>
    </w:p>
    <w:p w:rsidR="00BF1B0D" w:rsidRPr="002B2BC7" w:rsidRDefault="00BF1B0D" w:rsidP="00BF1B0D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sz w:val="28"/>
          <w:szCs w:val="28"/>
          <w:lang w:val="kk-KZ"/>
        </w:rPr>
        <w:t>2 кредит</w:t>
      </w:r>
      <w:r w:rsidRPr="00BF1B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F31A1A" w:rsidRPr="002B2B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</w:t>
      </w:r>
      <w:r w:rsidRPr="00BF1B0D">
        <w:rPr>
          <w:rFonts w:ascii="Times New Roman" w:hAnsi="Times New Roman" w:cs="Times New Roman"/>
          <w:bCs/>
          <w:sz w:val="28"/>
          <w:szCs w:val="28"/>
          <w:lang w:val="kk-KZ"/>
        </w:rPr>
        <w:t>курс, қазақ бөлімі</w:t>
      </w:r>
    </w:p>
    <w:p w:rsidR="00BF1B0D" w:rsidRPr="002B2BC7" w:rsidRDefault="00BF1B0D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B0D" w:rsidRPr="002B2BC7" w:rsidRDefault="00BF1B0D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B0D" w:rsidRPr="002B2BC7" w:rsidRDefault="00BF1B0D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B0D" w:rsidRPr="002B2BC7" w:rsidRDefault="00BF1B0D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2BC7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F31A1A" w:rsidRPr="002B2BC7" w:rsidRDefault="00F31A1A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1A1A" w:rsidRPr="002B2BC7" w:rsidRDefault="00F31A1A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1A1A" w:rsidRPr="002B2BC7" w:rsidRDefault="00F31A1A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B0D" w:rsidRPr="002B2BC7" w:rsidRDefault="00BF1B0D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1A1A" w:rsidRPr="002B2BC7" w:rsidRDefault="00F31A1A" w:rsidP="00BF1B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B0D" w:rsidRPr="00BF1B0D" w:rsidRDefault="00BF1B0D" w:rsidP="00BF1B0D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F1B0D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Алматы, 2020</w:t>
      </w:r>
    </w:p>
    <w:p w:rsidR="00F31A1A" w:rsidRPr="00F31A1A" w:rsidRDefault="00F31A1A" w:rsidP="00F31A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«5B010300 Педагогика және психология» </w:t>
      </w:r>
      <w:r w:rsidRPr="00F3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A1A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мамандығына арналған</w:t>
      </w:r>
    </w:p>
    <w:p w:rsidR="00BF1B0D" w:rsidRPr="002B2BC7" w:rsidRDefault="00F31A1A" w:rsidP="00F31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31A1A">
        <w:rPr>
          <w:rFonts w:ascii="Times New Roman" w:hAnsi="Times New Roman" w:cs="Times New Roman"/>
          <w:b/>
          <w:bCs/>
          <w:sz w:val="28"/>
          <w:szCs w:val="28"/>
          <w:lang w:val="kk-KZ"/>
        </w:rPr>
        <w:t>PP04309</w:t>
      </w: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F31A1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F31A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Кәсіби білім беру педагогикасы</w:t>
      </w: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</w:t>
      </w:r>
      <w:r w:rsidR="00BF1B0D" w:rsidRPr="00F31A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F1B0D" w:rsidRPr="00F31A1A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F31A1A" w:rsidRPr="002B2BC7" w:rsidRDefault="00F31A1A" w:rsidP="00F31A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F1B0D" w:rsidRPr="00F31A1A" w:rsidRDefault="00BF1B0D" w:rsidP="00BF1B0D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1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бойынша емтихан 15 апталық оқытудан кейін жүргізіледі.  Емтихан түрі – жазбаша. </w:t>
      </w:r>
    </w:p>
    <w:p w:rsidR="00BF1B0D" w:rsidRPr="00BF1B0D" w:rsidRDefault="00BF1B0D" w:rsidP="00F31A1A">
      <w:pPr>
        <w:snapToGrid w:val="0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Курстың тақырыптары: </w:t>
      </w:r>
    </w:p>
    <w:p w:rsidR="00BF1B0D" w:rsidRPr="00BF1B0D" w:rsidRDefault="00F31A1A" w:rsidP="00F31A1A">
      <w:pPr>
        <w:snapToGri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2B2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1B0D"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тақырып. </w:t>
      </w:r>
      <w:r w:rsidR="00BF1B0D" w:rsidRPr="00BF1B0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1B0D" w:rsidRPr="00BF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Кәсіби білім беру педагогикасы» оқыту пәні ретінде.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2BC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 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>Заманауи мектептегі кәсіби білім берудің негіздері. Кәсіби білім берудің мақсаты мен міндеттері.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тақырып. 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>Кәсіби білім берудің модельдері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4</w:t>
      </w:r>
      <w:r w:rsidRPr="002B2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тақырып. 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>Кәсіби білім берудегі педагогикалық процестің бейнесі.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5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берудің мазмұны.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6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берудегі педагогикалық процесті ұйымдастырудың әдістері.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7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беретін мектепте тәрбие жұмысын ұйымдастыру.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8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берудегі сабақ кестесін құрастырудың әдістері.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9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беруде жеке оқыту жоспарын жобалау кезеңінің ерекшеліктері.</w:t>
      </w:r>
    </w:p>
    <w:p w:rsidR="00BF1B0D" w:rsidRPr="00BF1B0D" w:rsidRDefault="00BF1B0D" w:rsidP="00BF1B0D">
      <w:pPr>
        <w:snapToGri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10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беруге дайындаудың мәні мен міндеттері.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_GoBack"/>
      <w:bookmarkEnd w:id="0"/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11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бағдар алды даярлықта кәсіби бағдар беру және ақпараттық жұмысты ұйымдастыру.</w:t>
      </w:r>
    </w:p>
    <w:p w:rsidR="00BF1B0D" w:rsidRPr="00BF1B0D" w:rsidRDefault="00BF1B0D" w:rsidP="00BF1B0D">
      <w:pPr>
        <w:snapToGri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12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Мектеп психологының кәсіби бағдар беру жұмысы.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13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берудің педагогикалық кадрларын кәсіби даярлаудың ерекшеліктері.</w:t>
      </w:r>
    </w:p>
    <w:p w:rsidR="00BF1B0D" w:rsidRPr="00BF1B0D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14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білім беру мекемелерін басқару.</w:t>
      </w:r>
    </w:p>
    <w:p w:rsidR="00BD766D" w:rsidRPr="002B2BC7" w:rsidRDefault="00BF1B0D" w:rsidP="00BF1B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мекемесі мен ата-аналардың кәсіптік бағдар беру жұмыстарын жүзеге асырудағы өзара іс-әркетінің  негізгі формалары.</w:t>
      </w:r>
    </w:p>
    <w:p w:rsidR="00C6606F" w:rsidRPr="002B2BC7" w:rsidRDefault="00C6606F" w:rsidP="00C6606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06F" w:rsidRPr="002B2BC7" w:rsidRDefault="00C6606F" w:rsidP="00C660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0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 тізімі: </w:t>
      </w:r>
    </w:p>
    <w:p w:rsidR="00C6606F" w:rsidRPr="00A10F33" w:rsidRDefault="00C6606F" w:rsidP="00A10F3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1. </w:t>
      </w:r>
      <w:r w:rsidRPr="00A10F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Дүйсембінова Р.Қ. Кәсіби педагогика. Оқулық.- Алматы: 2012. -348 бет.</w:t>
      </w:r>
    </w:p>
    <w:p w:rsidR="00C6606F" w:rsidRPr="00A10F33" w:rsidRDefault="00C6606F" w:rsidP="00A10F33">
      <w:pPr>
        <w:spacing w:after="0" w:line="240" w:lineRule="atLeast"/>
        <w:jc w:val="both"/>
        <w:rPr>
          <w:color w:val="000000" w:themeColor="text1"/>
          <w:sz w:val="28"/>
          <w:szCs w:val="28"/>
          <w:lang w:val="kk-KZ"/>
        </w:rPr>
      </w:pP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="00A10F33"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Өстеміров К. Кәсіптік оқыту әдістемесі. Педагогикалық мамандықтар бойынша жоғары ж</w:t>
      </w:r>
      <w:r w:rsidR="006E3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не орта кәсіптік білім беретін оқу орындарының студенттеріне және орта к</w:t>
      </w:r>
      <w:r w:rsidR="006E3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сіптік білім беретін оқу орындарының студенттері мен өндірістік оқыту шеберлеріне арналған оқулық. - Алматы: "РАДиАЛ" баспасы, 2006 - 240 бет.</w:t>
      </w:r>
    </w:p>
    <w:p w:rsidR="00C6606F" w:rsidRPr="002B2BC7" w:rsidRDefault="00C6606F" w:rsidP="00A10F3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Pr="002B2BC7">
        <w:rPr>
          <w:rFonts w:ascii="Times New Roman" w:hAnsi="Times New Roman" w:cs="Times New Roman"/>
          <w:sz w:val="28"/>
          <w:szCs w:val="28"/>
          <w:lang w:val="kk-KZ"/>
        </w:rPr>
        <w:t xml:space="preserve"> Өстеміров К., Шаметов Н., Васильев И. Кәсіптік педагогика: университет студенттеріне арналған оқулық / Алматы, ТОО,, Наз -9,, ЖШС, 2006 280 бет</w:t>
      </w:r>
    </w:p>
    <w:p w:rsidR="00C6606F" w:rsidRPr="00A10F33" w:rsidRDefault="00C6606F" w:rsidP="00A10F3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4.</w:t>
      </w:r>
      <w:r w:rsidRPr="00A10F33">
        <w:rPr>
          <w:sz w:val="28"/>
          <w:szCs w:val="28"/>
          <w:lang w:val="kk-KZ"/>
        </w:rPr>
        <w:t xml:space="preserve"> </w:t>
      </w:r>
      <w:r w:rsidRPr="00A10F33">
        <w:rPr>
          <w:rFonts w:ascii="Times New Roman" w:hAnsi="Times New Roman" w:cs="Times New Roman"/>
          <w:sz w:val="28"/>
          <w:szCs w:val="28"/>
          <w:lang w:val="kk-KZ"/>
        </w:rPr>
        <w:t>Жолдасбекова С.А. Еңбек технологиясы және кәсіпкерлік мұғалімдерін кәсіби даярлау: монография. – Алматы: Әрекет-Print, 2008. – 330 б.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606F" w:rsidRPr="00A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А.Б.,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Булатбаева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А.А.,и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Зарубежный и казахстанский опыт формирования профессионального самоопределения современной молодежи. –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", 2017. – 101 стр.</w:t>
      </w:r>
    </w:p>
    <w:p w:rsidR="00C6606F" w:rsidRPr="00A10F33" w:rsidRDefault="002B2BC7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2B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А.Б.,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Касен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Г.А.,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Булатбаева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", 2018. – 110 стр.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А.Б. Профессиональное самоопределение старшеклассников в контексте опыта школ по профориентации.-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", 2018 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А.Б., Вишневская А.В. Психолого-педагогическая диагностика уровня готовности социального педагога к работе с одаренными детьми. –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", 2015 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Закон Республики Казахстан «Об образовании» -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: Юрист, 2007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. Концепция развития образования Республики Казахстан до 2015 года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Гладкая И.В., Ильина С.П., Ривкина С.В. Основы профильного обучения и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предпрофильной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 подготовки. – СПб,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Каро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, 2005</w:t>
      </w:r>
    </w:p>
    <w:p w:rsidR="00C6606F" w:rsidRPr="00A10F33" w:rsidRDefault="00A10F33" w:rsidP="00A10F33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F33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. Климов Е.А. Психолого-педагогические проблемы профессиональной  ориентации и профессиональной консультации. – М: Знание, 2016</w:t>
      </w:r>
    </w:p>
    <w:p w:rsidR="00C6606F" w:rsidRPr="00A10F33" w:rsidRDefault="00A10F33" w:rsidP="00A10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BC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. Кузнецов А.А..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Пинский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А.А., Рыжаков Н.В., Филатова А.О.  Структура и принципы формирования содержания профильного обучения на старшей ступени. – М.: </w:t>
      </w:r>
      <w:proofErr w:type="spellStart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Каро</w:t>
      </w:r>
      <w:proofErr w:type="spellEnd"/>
      <w:r w:rsidR="00C6606F" w:rsidRPr="00A10F33">
        <w:rPr>
          <w:rFonts w:ascii="Times New Roman" w:hAnsi="Times New Roman"/>
          <w:color w:val="000000" w:themeColor="text1"/>
          <w:sz w:val="28"/>
          <w:szCs w:val="28"/>
        </w:rPr>
        <w:t>, 2013</w:t>
      </w:r>
    </w:p>
    <w:p w:rsidR="002B2BC7" w:rsidRPr="00A10F33" w:rsidRDefault="002B2BC7" w:rsidP="002B2BC7">
      <w:pPr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B2BC7">
        <w:rPr>
          <w:rFonts w:ascii="Times New Roman" w:hAnsi="Times New Roman" w:cs="Times New Roman"/>
          <w:sz w:val="28"/>
          <w:szCs w:val="28"/>
        </w:rPr>
        <w:t>14.</w:t>
      </w:r>
      <w:r w:rsidRPr="002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Нұрмағанбетова М.С., Самашова Г.Е., Ударцева С.М. Жалпы техникалық және арнайы пәндерді оқыту </w:t>
      </w:r>
      <w:r w:rsidR="006E3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A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дістемесі: Оқу құралы.- Қарағанды: ҚарМТУ баспасы, 2010.-  83 б.</w:t>
      </w:r>
    </w:p>
    <w:p w:rsidR="00C6606F" w:rsidRPr="002B2BC7" w:rsidRDefault="00C6606F" w:rsidP="00A10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06F" w:rsidRPr="00C6606F" w:rsidRDefault="00C6606F" w:rsidP="00A10F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06F" w:rsidRPr="00C6606F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E7D18"/>
    <w:rsid w:val="002B2BC7"/>
    <w:rsid w:val="004E7D18"/>
    <w:rsid w:val="006E3C06"/>
    <w:rsid w:val="00A10F33"/>
    <w:rsid w:val="00BD766D"/>
    <w:rsid w:val="00BF1B0D"/>
    <w:rsid w:val="00C6606F"/>
    <w:rsid w:val="00C77C57"/>
    <w:rsid w:val="00F3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2020-10-23T18:47:00Z</dcterms:created>
  <dcterms:modified xsi:type="dcterms:W3CDTF">2020-10-23T19:26:00Z</dcterms:modified>
</cp:coreProperties>
</file>